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Style w:val="ldi0op"/>
        <w:pBdr>
          <w:bottom w:val="thick" w:sz="0"/>
        </w:pBdr>
        <w:snapToGrid/>
        <w:spacing w:before="180" w:after="0" w:line="360"/>
        <w:ind w:left="336"/>
        <w:rPr>
          <w:rFonts w:ascii="" w:hAnsi="" w:eastAsia="" w:cs=""/>
        </w:rPr>
      </w:pP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B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i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l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l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i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n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g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E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x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p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o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r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t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-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G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C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P</w:t>
      </w:r>
      <w:r>
        <w:rPr>
          <w:rFonts w:hint="eastAsia"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</w:t>
      </w: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Step-by-Step to Export SKU-Level Usage Billing</w:t>
      </w:r>
    </w:p>
    <w:p>
      <w:pPr>
        <w:pStyle w:val="3no1e4"/>
        <w:numPr>
          <w:ilvl w:val="0"/>
          <w:numId w:val="1"/>
        </w:numPr>
        <w:pBdr>
          <w:bottom w:val="thick" w:sz="0"/>
        </w:pBdr>
        <w:snapToGrid/>
        <w:spacing w:before="180" w:after="0" w:line="360"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Prerequisites (Ensure Smooth Operation Without Permissions/Function Issues)</w:t>
      </w:r>
    </w:p>
    <w:p>
      <w:pPr>
        <w:numPr>
          <w:ilvl w:val="0"/>
          <w:numId w:val="2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Permission Verification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:To view and download SKU billing data for your own project, your GCP account requires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Billing Viewer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role at the project level.</w:t>
      </w:r>
    </w:p>
    <w:p>
      <w:pPr>
        <w:numPr>
          <w:ilvl w:val="1"/>
          <w:numId w:val="2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To access cross-project billing account-level SKU data, you need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Billing Account Viewer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role (assigned by an administrator via the IAM Console).</w:t>
      </w: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2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Feature Availability Check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:This method is suitable for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quickly exporting small-scale aggregated SKU data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(e.g., monthly reconciliation, basic usage verification) and supports data from the past 13 months.</w:t>
      </w:r>
    </w:p>
    <w:p>
      <w:pPr>
        <w:numPr>
          <w:ilvl w:val="1"/>
          <w:numId w:val="2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For data older than 13 months or resource-level details (e.g., SKU usage tied to specific instance IDs), use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BigQuery Export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method (see supplementary notes below).</w:t>
      </w:r>
    </w:p>
    <w:p>
      <w:pPr>
        <w:ind w:left="0"/>
        <w:rPr>
          <w:rFonts w:ascii="" w:hAnsi="" w:eastAsia="" w:cs=""/>
        </w:rPr>
      </w:pPr>
    </w:p>
    <w:p>
      <w:pPr>
        <w:pStyle w:val="ldjzen"/>
        <w:numPr>
          <w:ilvl w:val="0"/>
          <w:numId w:val="3"/>
        </w:numPr>
        <w:pBdr>
          <w:bottom w:val="thick" w:sz="0"/>
        </w:pBdr>
        <w:snapToGrid/>
        <w:spacing w:before="180" w:after="0" w:line="360"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Detailed Export Steps (Including Filtering &amp; Download Workflow)</w:t>
      </w:r>
    </w:p>
    <w:p>
      <w:pPr>
        <w:numPr>
          <w:ilvl w:val="0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Access the Billing Report Page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Log in to the GCP Console (</w:t>
      </w:r>
      <w:r>
        <w:rPr>
          <w:rFonts w:ascii="" w:hAnsi="" w:eastAsia="" w:cs=""/>
        </w:rPr>
        <w:fldChar w:fldCharType="begin"/>
      </w:r>
      <w:r>
        <w:rPr>
          <w:rFonts w:ascii="" w:hAnsi="" w:eastAsia="" w:cs=""/>
        </w:rPr>
        <w:instrText>HYPERLINK https://console.cloud.google.com/ normalLink \tdft \tdfe -10 \tdfid \tddp \tdop \tdlt inline \tdds \tdfvi \tdlf \tdtf \l \tdsub normalLink \tdkey bdnu3h \tdkey bdnu3h</w:instrText>
      </w:r>
      <w:r>
        <w:rPr>
          <w:rFonts w:ascii="" w:hAnsi="" w:eastAsia="" w:cs=""/>
        </w:rPr>
        <w:fldChar w:fldCharType="separate"/>
      </w:r>
      <w:r>
        <w:rPr>
          <w:rStyle w:val="jof6na"/>
          <w:rFonts w:ascii="" w:hAnsi="" w:eastAsia="" w:cs=""/>
          <w:color/>
        </w:rPr>
        <w:t>console.cloud.google.com</w:t>
      </w:r>
      <w:r>
        <w:rPr>
          <w:rFonts w:ascii="" w:hAnsi="" w:eastAsia="" w:cs=""/>
        </w:rPr>
        <w:fldChar w:fldCharType="end"/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), enter "Billing" in the top search bar, and select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Cloud Billing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service.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If your account is linked to multiple billing accounts, use the top dropdown menu to select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target billing account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(ensure data corresponds to the correct account).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In the left navigation pane, click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Report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to enter the billing report visualization page.</w:t>
      </w: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Configure SKU Grouping &amp; Time Range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Grouping Setup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: Locate the "Grouped by" dropdown at the top of the page and select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SKU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—the report will automatically aggregate data by "SKU Name + SKU ID", with each row representing aggregated usage/cost for a single SKU.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Time Range Selection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: Click the time filter at the top, select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Last month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directly, or manually set a custom date range (e.g., "2025-10-01 to 2025-10-31"). The report will refresh in real time to display SKU data for the selected period.</w:t>
      </w:r>
    </w:p>
    <w:p>
      <w:pPr>
        <w:pBdr/>
        <w:ind w:leftChars="400"/>
        <w:rPr>
          <w:rFonts w:ascii="" w:hAnsi="" w:eastAsia="" w:cs=""/>
        </w:rPr>
      </w:pPr>
      <w:r>
        <w:rPr>
          <w:rFonts w:ascii="" w:hAnsi="" w:eastAsia="" w:cs=""/>
        </w:rPr>
        <w:drawing>
          <wp:inline distT="0" distB="0" distL="0" distR="0">
            <wp:extent cx="7743825" cy="3512881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4"/>
                    <a:stretch/>
                  </pic:blipFill>
                  <pic:spPr>
                    <a:xfrm>
                      <a:off x="0" y="0"/>
                      <a:ext cx="7743825" cy="351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/>
        <w:rPr>
          <w:rFonts w:ascii="" w:hAnsi="" w:eastAsia="" w:cs=""/>
        </w:rPr>
      </w:pPr>
      <w:r>
        <w:rPr>
          <w:rFonts w:ascii="" w:hAnsi="" w:eastAsia="" w:cs=""/>
        </w:rPr>
        <w:tab/>
      </w:r>
      <w:r>
        <w:rPr>
          <w:rFonts w:ascii="" w:hAnsi="" w:eastAsia="" w:cs=""/>
        </w:rPr>
        <w:tab/>
      </w:r>
    </w:p>
    <w:p>
      <w:pPr>
        <w:numPr>
          <w:ilvl w:val="0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(Optional) Precisely Filter Target SKU Data (Avoid Redundant Exports)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To export only SKU data for specific services, regions, or projects, use the filters in the left pane:Filter by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Service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 Check target services (e.g., "Compute Engine", "Cloud Storage", "GKE Autopilot") to display only SKUs under those services.</w:t>
      </w:r>
    </w:p>
    <w:p>
      <w:pPr>
        <w:numPr>
          <w:ilvl w:val="2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Filter by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Region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 Check target regions (e.g., "asia-southeast2 (Jakarta)", "us-central1") to focus on SKU usage in specific geographic areas.</w:t>
      </w:r>
    </w:p>
    <w:p>
      <w:pPr>
        <w:numPr>
          <w:ilvl w:val="2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Filter by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Project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 If the billing account has multiple projects, check the target project to export only its SKU data.</w:t>
      </w:r>
    </w:p>
    <w:p>
      <w:pPr>
        <w:numPr>
          <w:ilvl w:val="2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Filter by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Cost Type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 Select options like "Total Cost", "Discounted Cost", or "Tax" to export cost data for specific dimensions.</w:t>
      </w:r>
    </w:p>
    <w:p>
      <w:pPr>
        <w:ind w:left="0"/>
        <w:rPr>
          <w:rFonts w:ascii="" w:hAnsi="" w:eastAsia="" w:cs=""/>
        </w:rPr>
      </w:pP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Download SKU Billing as a CSV File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Verify the report data (cross-check SKU description, usage, cost, etc.). Locate the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Download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button in the top-right corner of the report (icon: downward arrow; tooltip: "Download CSV").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Click the button—GCP will automatically generate and download a CSV file to your local device. The default file includes core fields:SKU ID, SKU Description, Service Name, Region, Project ID, Project Name, Usage Amount, Usage Unit, Cost (Discounted), Total Cost (Pre-Discount), Discount Amount, Tax, etc.</w:t>
      </w:r>
    </w:p>
    <w:p>
      <w:pPr>
        <w:numPr>
          <w:ilvl w:val="1"/>
          <w:numId w:val="4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The file can be directly used for Excel reconciliation or data analysis.</w:t>
      </w:r>
    </w:p>
    <w:p>
      <w:pPr>
        <w:ind w:leftChars="400"/>
        <w:rPr>
          <w:rFonts w:ascii="" w:hAnsi="" w:eastAsia="" w:cs=""/>
        </w:rPr>
      </w:pPr>
      <w:r>
        <w:rPr>
          <w:rFonts w:ascii="" w:hAnsi="" w:eastAsia="" w:cs=""/>
        </w:rPr>
        <w:drawing>
          <wp:inline distT="0" distB="0" distL="0" distR="0">
            <wp:extent cx="7743825" cy="3495186"/>
            <wp:effectExtent l="0" t="0" r="0" b="0"/>
            <wp:docPr id="5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6" name="picture" descr="descript"/>
                    <pic:cNvPicPr/>
                  </pic:nvPicPr>
                  <pic:blipFill rotWithShape="true">
                    <a:blip r:embed="rId5"/>
                    <a:stretch/>
                  </pic:blipFill>
                  <pic:spPr>
                    <a:xfrm>
                      <a:off x="0" y="0"/>
                      <a:ext cx="7743825" cy="349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r2phm"/>
        <w:pBdr>
          <w:bottom w:val="thick" w:sz="0"/>
        </w:pBdr>
        <w:snapToGrid/>
        <w:spacing w:before="180" w:after="0" w:line="360"/>
        <w:ind w:left="0" w:right="0" w:hanging="0"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III.</w:t>
      </w: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</w:t>
      </w:r>
      <w:r>
        <w:rPr>
          <w:rFonts w:ascii="" w:hAnsi="" w:eastAsia="" w:cs=""/>
          <w:b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Key Notes (Avoid Data Discrepancies or Download Failures)</w:t>
      </w:r>
    </w:p>
    <w:p>
      <w:pPr>
        <w:numPr>
          <w:ilvl w:val="0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Data Granularity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:This method exports </w:t>
      </w: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aggregated SKU-level data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 xml:space="preserve"> (e.g., total monthly usage and cost for a SKU), not "hourly/minutely usage details". For granular analysis (e.g., investigating sudden spikes in daily SKU usage), switch to BigQuery Export.</w:t>
      </w: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Field Definitions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:"Usage Amount": SKU usage volume (unit varies by SKU, e.g., "millicore-hours" for mCPU, "GB-months" for storage).</w:t>
      </w:r>
    </w:p>
    <w:p>
      <w:pPr>
        <w:numPr>
          <w:ilvl w:val="1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"Cost": Discounted actual cost (consistent with the "COST" column in billing statements).</w:t>
      </w:r>
    </w:p>
    <w:p>
      <w:pPr>
        <w:numPr>
          <w:ilvl w:val="1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"Total Cost": Pre-discount cost. Filter fields as needed for analysis.</w:t>
      </w: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Download Limits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:A single CSV export supports up to 10,000 rows. If the billing account has over 10,000 SKUs (e.g., multi-project/multi-service scenarios):Split exports using filters (e.g., export by service/region separately), or use BigQuery Export for complete data.</w:t>
      </w:r>
    </w:p>
    <w:p>
      <w:pPr>
        <w:ind w:left="0"/>
        <w:rPr>
          <w:rFonts w:ascii="" w:hAnsi="" w:eastAsia="" w:cs=""/>
        </w:rPr>
      </w:pPr>
    </w:p>
    <w:p>
      <w:pPr>
        <w:ind w:left="0"/>
        <w:rPr>
          <w:rFonts w:ascii="" w:hAnsi="" w:eastAsia="" w:cs=""/>
        </w:rPr>
      </w:pPr>
    </w:p>
    <w:p>
      <w:pPr>
        <w:numPr>
          <w:ilvl w:val="0"/>
          <w:numId w:val="5"/>
        </w:numPr>
        <w:pBdr>
          <w:bottom w:val="thick" w:sz="0"/>
        </w:pBdr>
        <w:snapToGrid/>
        <w:spacing w:before="120" w:after="120" w:line="360"/>
        <w:ind/>
        <w:rPr>
          <w:rFonts w:ascii="" w:hAnsi="" w:eastAsia="" w:cs=""/>
        </w:rPr>
      </w:pPr>
      <w:r>
        <w:rPr>
          <w:rFonts w:ascii="" w:hAnsi="" w:eastAsia="" w:cs=""/>
          <w:b/>
          <w:i w:val="false"/>
          <w:strike w:val="false"/>
          <w:color w:val="auto"/>
          <w:spacing w:val="0"/>
          <w:sz w:val="24"/>
          <w:u w:val="none"/>
          <w:shd w:val="clear" w:color="auto" w:fill="FFFFFF"/>
        </w:rPr>
        <w:t>Data Update Latency</w:t>
      </w:r>
      <w:r>
        <w:rPr>
          <w:rFonts w:ascii="" w:hAnsi="" w:eastAsia="" w:cs=""/>
          <w:i w:val="false"/>
          <w:strike w:val="false"/>
          <w:color w:val="000000"/>
          <w:spacing w:val="0"/>
          <w:sz w:val="24"/>
          <w:u w:val="none"/>
          <w:shd w:val="clear" w:color="auto" w:fill="FFFFFF"/>
        </w:rPr>
        <w:t>:Billing data typically has a 24–48-hour delay. For "real-time monthly data", recent 1–2 days of details may be missing. For monthly reconciliation, export after the 3rd day of the next month to ensure data completeness.</w:t>
      </w:r>
    </w:p>
    <w:p>
      <w:pPr>
        <w:pStyle w:val="ablt93"/>
        <w:ind w:left="0"/>
        <w:rPr>
          <w:rFonts w:ascii="" w:hAnsi="" w:eastAsia="" w:cs=""/>
        </w:rPr>
      </w:pP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7">
      <w:start w:val="1"/>
      <w:numFmt w:val="lowerLetter"/>
      <w:lvlText w:val="%8."/>
      <w:lvlJc w:val="left"/>
      <w:pPr>
        <w:ind w:left="341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0">
      <w:start w:val="9"/>
      <w:numFmt w:val="upperLetter"/>
      <w:lvlText w:val="%1."/>
      <w:lvlJc w:val="left"/>
      <w:pPr>
        <w:ind w:left="336" w:hanging="336"/>
      </w:pPr>
      <w:rPr/>
    </w:lvl>
    <w:lvl w:ilvl="8">
      <w:start w:val="1"/>
      <w:numFmt w:val="lowerRoman"/>
      <w:lvlText w:val="%9."/>
      <w:lvlJc w:val="left"/>
      <w:pPr>
        <w:ind w:left="385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6">
      <w:start w:val="1"/>
      <w:numFmt w:val="upperLetter"/>
      <w:lvlText w:val="%7."/>
      <w:lvlJc w:val="left"/>
      <w:pPr>
        <w:ind w:left="297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3">
      <w:start w:val="1"/>
      <w:numFmt w:val="upperLetter"/>
      <w:lvlText w:val="%4."/>
      <w:lvlJc w:val="left"/>
      <w:pPr>
        <w:ind w:left="1656" w:hanging="336"/>
      </w:pPr>
    </w:lvl>
  </w:abstractNum>
  <w:abstractNum w:abstractNumId="2">
    <w:lvl w:ilvl="6">
      <w:start w:val="1"/>
      <w:numFmt w:val="decimal"/>
      <w:lvlText w:val="%7."/>
      <w:pPr>
        <w:ind w:leftChars="1200" w:hanging="0"/>
      </w:pPr>
    </w:lvl>
    <w:lvl w:ilvl="4">
      <w:start w:val="1"/>
      <w:numFmt w:val="lowerLetter"/>
      <w:lvlText w:val="%5."/>
      <w:pPr>
        <w:ind w:leftChars="800" w:hanging="336"/>
      </w:pPr>
    </w:lvl>
    <w:lvl w:ilvl="8">
      <w:start w:val="1"/>
      <w:numFmt w:val="lowerRoman"/>
      <w:lvlText w:val="%9."/>
      <w:pPr>
        <w:ind w:leftChars="1600" w:hanging="336"/>
      </w:pPr>
    </w:lvl>
    <w:lvl w:ilvl="5">
      <w:start w:val="1"/>
      <w:numFmt w:val="lowerRoman"/>
      <w:lvlText w:val="%6."/>
      <w:pPr>
        <w:ind w:leftChars="1000" w:hanging="336"/>
      </w:pPr>
    </w:lvl>
    <w:lvl w:ilvl="3">
      <w:start w:val="1"/>
      <w:numFmt w:val="decimal"/>
      <w:lvlText w:val="%4."/>
      <w:pPr>
        <w:ind w:leftChars="600" w:hanging="0"/>
      </w:pPr>
    </w:lvl>
    <w:lvl w:ilvl="1">
      <w:start w:val="1"/>
      <w:numFmt w:val="lowerLetter"/>
      <w:lvlText w:val="%2."/>
      <w:pPr>
        <w:ind w:leftChars="200" w:hanging="336"/>
      </w:pPr>
    </w:lvl>
    <w:lvl w:ilvl="2">
      <w:start w:val="1"/>
      <w:numFmt w:val="lowerRoman"/>
      <w:lvlText w:val="%3."/>
      <w:pPr>
        <w:ind w:leftChars="400" w:hanging="336"/>
      </w:pPr>
    </w:lvl>
    <w:lvl w:ilvl="0">
      <w:start w:val="1"/>
      <w:numFmt w:val="decimal"/>
      <w:lvlText w:val="%1."/>
      <w:pPr>
        <w:ind/>
      </w:pPr>
      <w:rPr/>
    </w:lvl>
    <w:lvl w:ilvl="7">
      <w:start w:val="1"/>
      <w:numFmt w:val="lowerLetter"/>
      <w:lvlText w:val="%8."/>
      <w:pPr>
        <w:ind w:leftChars="1400" w:hanging="336"/>
      </w:pPr>
    </w:lvl>
  </w:abstractNum>
  <w:abstractNum w:abstractNumId="3">
    <w:lvl w:ilvl="1">
      <w:start w:val="1"/>
      <w:numFmt w:val="lowerLetter"/>
      <w:lvlText w:val="%2."/>
      <w:lvlJc w:val="left"/>
      <w:pPr>
        <w:ind w:left="776" w:hanging="336"/>
      </w:pPr>
    </w:lvl>
    <w:lvl w:ilvl="6">
      <w:start w:val="1"/>
      <w:numFmt w:val="upperLetter"/>
      <w:lvlText w:val="%7."/>
      <w:lvlJc w:val="left"/>
      <w:pPr>
        <w:ind w:left="297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0">
      <w:start w:val="243"/>
      <w:numFmt w:val="upperLetter"/>
      <w:lvlText w:val="%1."/>
      <w:lvlJc w:val="left"/>
      <w:pPr>
        <w:ind w:left="336" w:hanging="336"/>
      </w:pPr>
      <w:rPr/>
    </w:lvl>
    <w:lvl w:ilvl="5">
      <w:start w:val="1"/>
      <w:numFmt w:val="lowerRoman"/>
      <w:lvlText w:val="%6."/>
      <w:lvlJc w:val="left"/>
      <w:pPr>
        <w:ind w:left="253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3">
      <w:start w:val="1"/>
      <w:numFmt w:val="upperLetter"/>
      <w:lvlText w:val="%4."/>
      <w:lvlJc w:val="left"/>
      <w:pPr>
        <w:ind w:left="165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</w:abstractNum>
  <w:abstractNum w:abstractNumId="4">
    <w:lvl w:ilvl="2">
      <w:start w:val="1"/>
      <w:numFmt w:val="lowerRoman"/>
      <w:lvlText w:val="%3."/>
      <w:pPr>
        <w:ind w:leftChars="400" w:hanging="336"/>
      </w:pPr>
    </w:lvl>
    <w:lvl w:ilvl="8">
      <w:start w:val="1"/>
      <w:numFmt w:val="lowerRoman"/>
      <w:lvlText w:val="%9."/>
      <w:pPr>
        <w:ind w:leftChars="1600" w:hanging="336"/>
      </w:pPr>
    </w:lvl>
    <w:lvl w:ilvl="0">
      <w:start w:val="1"/>
      <w:numFmt w:val="decimal"/>
      <w:lvlText w:val="%1."/>
      <w:pPr>
        <w:ind/>
      </w:pPr>
      <w:rPr/>
    </w:lvl>
    <w:lvl w:ilvl="7">
      <w:start w:val="1"/>
      <w:numFmt w:val="lowerLetter"/>
      <w:lvlText w:val="%8."/>
      <w:pPr>
        <w:ind w:leftChars="1400" w:hanging="336"/>
      </w:pPr>
    </w:lvl>
    <w:lvl w:ilvl="6">
      <w:start w:val="1"/>
      <w:numFmt w:val="decimal"/>
      <w:lvlText w:val="%7."/>
      <w:pPr>
        <w:ind w:leftChars="1200" w:hanging="0"/>
      </w:pPr>
    </w:lvl>
    <w:lvl w:ilvl="4">
      <w:start w:val="1"/>
      <w:numFmt w:val="lowerLetter"/>
      <w:lvlText w:val="%5."/>
      <w:pPr>
        <w:ind w:leftChars="800" w:hanging="336"/>
      </w:pPr>
    </w:lvl>
    <w:lvl w:ilvl="1">
      <w:start w:val="1"/>
      <w:numFmt w:val="lowerLetter"/>
      <w:lvlText w:val="%2."/>
      <w:pPr>
        <w:ind w:leftChars="200" w:hanging="336"/>
      </w:pPr>
    </w:lvl>
    <w:lvl w:ilvl="5">
      <w:start w:val="1"/>
      <w:numFmt w:val="lowerRoman"/>
      <w:lvlText w:val="%6."/>
      <w:pPr>
        <w:ind w:leftChars="1000" w:hanging="336"/>
      </w:pPr>
    </w:lvl>
    <w:lvl w:ilvl="3">
      <w:start w:val="1"/>
      <w:numFmt w:val="decimal"/>
      <w:lvlText w:val="%4."/>
      <w:pPr>
        <w:ind w:leftChars="600" w:hanging="0"/>
      </w:pPr>
    </w:lvl>
  </w:abstractNum>
  <w:abstractNum w:abstractNumId="5">
    <w:lvl w:ilvl="4">
      <w:start w:val="1"/>
      <w:numFmt w:val="lowerLetter"/>
      <w:lvlText w:val="%5."/>
      <w:pPr>
        <w:ind w:leftChars="800" w:hanging="336"/>
      </w:pPr>
    </w:lvl>
    <w:lvl w:ilvl="3">
      <w:start w:val="1"/>
      <w:numFmt w:val="decimal"/>
      <w:lvlText w:val="%4."/>
      <w:pPr>
        <w:ind w:leftChars="600" w:hanging="0"/>
      </w:pPr>
    </w:lvl>
    <w:lvl w:ilvl="0">
      <w:start w:val="1"/>
      <w:numFmt w:val="decimal"/>
      <w:lvlText w:val="%1."/>
      <w:pPr>
        <w:ind/>
      </w:pPr>
      <w:rPr/>
    </w:lvl>
    <w:lvl w:ilvl="2">
      <w:start w:val="1"/>
      <w:numFmt w:val="lowerRoman"/>
      <w:lvlText w:val="%3."/>
      <w:pPr>
        <w:ind w:leftChars="400" w:hanging="336"/>
      </w:pPr>
    </w:lvl>
    <w:lvl w:ilvl="7">
      <w:start w:val="1"/>
      <w:numFmt w:val="lowerLetter"/>
      <w:lvlText w:val="%8."/>
      <w:pPr>
        <w:ind w:leftChars="1400" w:hanging="336"/>
      </w:pPr>
    </w:lvl>
    <w:lvl w:ilvl="8">
      <w:start w:val="1"/>
      <w:numFmt w:val="lowerRoman"/>
      <w:lvlText w:val="%9."/>
      <w:pPr>
        <w:ind w:leftChars="1600" w:hanging="336"/>
      </w:pPr>
    </w:lvl>
    <w:lvl w:ilvl="6">
      <w:start w:val="1"/>
      <w:numFmt w:val="decimal"/>
      <w:lvlText w:val="%7."/>
      <w:pPr>
        <w:ind w:leftChars="1200" w:hanging="0"/>
      </w:pPr>
    </w:lvl>
    <w:lvl w:ilvl="1">
      <w:start w:val="1"/>
      <w:numFmt w:val="lowerLetter"/>
      <w:lvlText w:val="%2."/>
      <w:pPr>
        <w:ind w:leftChars="200" w:hanging="336"/>
      </w:pPr>
    </w:lvl>
    <w:lvl w:ilvl="5">
      <w:start w:val="1"/>
      <w:numFmt w:val="lowerRoman"/>
      <w:lvlText w:val="%6."/>
      <w:pPr>
        <w:ind w:leftChars="1000" w:hanging="336"/>
      </w:pPr>
    </w:lvl>
  </w:abstractNum>
  <w:num w:numId="5">
    <w:abstractNumId w:val="5"/>
  </w:num>
  <w:num w:numId="3">
    <w:abstractNumId w:val="3"/>
  </w:num>
  <w:num w:numId="1">
    <w:abstractNumId w:val="1"/>
  </w:num>
  <w:num w:numId="4">
    <w:abstractNumId w:val="2"/>
  </w:num>
  <w:num w:numId="2">
    <w:abstractNumId w:val="4"/>
  </w:num>
</w:numbering>
</file>

<file path=word/settings.xml><?xml version="1.0" encoding="utf-8"?>
<w:settings xmlns:w14="http://schemas.microsoft.com/office/word/2010/wordml" xmlns:w15="http://schemas.microsoft.com/office/word/2012/wordml" xmlns:w="http://schemas.openxmlformats.org/wordprocessingml/2006/main" xmlns:m="http://schemas.openxmlformats.org/officeDocument/2006/math" xmlns:mc="http://schemas.openxmlformats.org/markup-compatibility/2006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</w:compat>
  <w:rsids>
    <w:rsidRoot w:val="00E023A0"/>
    <w:rsid w:val="00680AC3"/>
    <w:rsid w:val="007452DF"/>
    <w:rsid w:val="00E023A0"/>
  </w:rsids>
  <m:mathPr>
    <m:mathFont m:val="Cambria Math"/>
    <m:brkBin m:val="before"/>
    <m:brkBinSub m:val="--"/>
    <m:smallFrac m:val="false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CB54FC"/>
  <w15:chartTrackingRefBased/>
  <w15:docId w15:val="{0549D595-5F3E-9A49-832F-E7DF37783478}"/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jof6na">
    <w:name w:val="Hyperlink"/>
    <w:basedOn w:val="nkq78g"/>
    <w:next w:val=""/>
    <w:uiPriority w:val="99"/>
    <w:unhideWhenUsed/>
    <w:rPr>
      <w:color w:val="1E6FFF" w:themeColor="hyperlink"/>
      <w:u w:val="single"/>
    </w:rPr>
  </w:style>
  <w:style w:type="paragraph" w:styleId="ldi0op">
    <w:name w:val="heading 3"/>
    <w:basedOn w:val="ablt93"/>
    <w:next w:val="ablt93"/>
    <w:uiPriority w:val="9"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styleId="nkq78g" w:default="true">
    <w:name w:val="Default Paragraph Font"/>
    <w:basedOn w:val=""/>
    <w:next w:val=""/>
    <w:uiPriority w:val="1"/>
    <w:semiHidden/>
    <w:unhideWhenUsed/>
  </w:style>
  <w:style w:type="paragraph" w:styleId="ldjzen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nr2phm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ablt93" w:default="true">
    <w:name w:val="Normal"/>
    <w:pPr>
      <w:widowControl w:val="false"/>
      <w:jc w:val="left"/>
    </w:pPr>
  </w:style>
  <w:style w:type="paragraph" w:styleId="3no1e4">
    <w:name w:val="heading 4"/>
    <w:basedOn w:val="ablt93"/>
    <w:next w:val="ablt93"/>
    <w:uiPriority w:val="9"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png" /><Relationship Id="rId3" Type="http://schemas.openxmlformats.org/officeDocument/2006/relationships/numbering" Target="numbering.xml" /><Relationship Id="rId2" Type="http://schemas.openxmlformats.org/officeDocument/2006/relationships/fontTable" Target="fontTable.xml" /><Relationship Id="rId5" Type="http://schemas.openxmlformats.org/officeDocument/2006/relationships/image" Target="media/image2.png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2026-07-03T20:07:07Z</dcterms:created>
  <dcterms:modified xsi:type="dcterms:W3CDTF">2026-07-03T20:07:07Z</dcterms:modified>
</cp:coreProperties>
</file>